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EE3" w:rsidRDefault="00841E74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16"/>
          <w:szCs w:val="16"/>
        </w:rPr>
      </w:pPr>
      <w:r>
        <w:rPr>
          <w:noProof/>
          <w:lang w:eastAsia="ru-RU"/>
        </w:rPr>
        <w:drawing>
          <wp:inline distT="0" distB="0" distL="0" distR="0">
            <wp:extent cx="532765" cy="63627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/>
                    </pic:cNvPicPr>
                  </pic:nvPicPr>
                  <pic:blipFill>
                    <a:blip r:embed="rId6"/>
                    <a:stretch/>
                  </pic:blipFill>
                  <pic:spPr bwMode="auto">
                    <a:xfrm>
                      <a:off x="0" y="0"/>
                      <a:ext cx="532765" cy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90EE3" w:rsidRDefault="00090EE3">
      <w:pPr>
        <w:spacing w:after="0" w:line="240" w:lineRule="auto"/>
        <w:jc w:val="center"/>
        <w:rPr>
          <w:rFonts w:ascii="Times New Roman" w:hAnsi="Times New Roman"/>
          <w:b/>
          <w:caps/>
          <w:sz w:val="16"/>
          <w:szCs w:val="16"/>
        </w:rPr>
      </w:pPr>
    </w:p>
    <w:p w:rsidR="00090EE3" w:rsidRDefault="00841E7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министерство региональной политики </w:t>
      </w:r>
    </w:p>
    <w:p w:rsidR="00090EE3" w:rsidRDefault="00841E74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Новосибирской области </w:t>
      </w:r>
    </w:p>
    <w:p w:rsidR="00090EE3" w:rsidRDefault="00090EE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90EE3" w:rsidRDefault="00841E7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</w:t>
      </w:r>
    </w:p>
    <w:p w:rsidR="00090EE3" w:rsidRDefault="00841E74">
      <w:pPr>
        <w:spacing w:after="0" w:line="240" w:lineRule="auto"/>
        <w:ind w:left="11" w:hanging="11"/>
        <w:jc w:val="center"/>
        <w:rPr>
          <w:rFonts w:ascii="Times New Roman" w:hAnsi="Times New Roman"/>
          <w:b/>
          <w:bCs/>
        </w:rPr>
      </w:pPr>
      <w:r>
        <w:rPr>
          <w:rFonts w:ascii="Times New Roman" w:eastAsia="Times New Roman" w:hAnsi="Times New Roman"/>
          <w:b/>
          <w:bCs/>
          <w:noProof/>
          <w:lang w:eastAsia="ru-RU"/>
        </w:rPr>
        <w:drawing>
          <wp:inline distT="0" distB="0" distL="0" distR="0">
            <wp:extent cx="3175" cy="3175"/>
            <wp:effectExtent l="0" t="0" r="0" b="0"/>
            <wp:docPr id="2" name="Picture 17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921082" name="Picture 1711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3174" cy="317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к проекту закона Новосибирской области «Об организации местного самоуправления в Новосибирской области и внесении изменений в отдельные законы Новосибирской области» </w:t>
      </w:r>
    </w:p>
    <w:p w:rsidR="00090EE3" w:rsidRDefault="00090EE3">
      <w:pPr>
        <w:spacing w:after="0" w:line="240" w:lineRule="auto"/>
        <w:ind w:hanging="11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C4552" w:rsidRDefault="00841E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Проект закона Новосибирской области </w:t>
      </w:r>
      <w:r>
        <w:rPr>
          <w:rFonts w:ascii="Times New Roman" w:eastAsia="Times New Roman" w:hAnsi="Times New Roman"/>
          <w:sz w:val="28"/>
          <w:szCs w:val="28"/>
        </w:rPr>
        <w:t>«</w:t>
      </w:r>
      <w:r>
        <w:rPr>
          <w:rFonts w:ascii="Times New Roman" w:eastAsia="Times New Roman" w:hAnsi="Times New Roman"/>
          <w:sz w:val="28"/>
          <w:szCs w:val="28"/>
        </w:rPr>
        <w:t>Об организации местного самоуправления в Новосибирской области и внесении изменений в отдельные законы Новосибирской области»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(далее – проект закона) подготовлен в целях</w:t>
      </w:r>
      <w:r>
        <w:rPr>
          <w:rFonts w:ascii="Times New Roman" w:eastAsia="Times New Roman" w:hAnsi="Times New Roman"/>
          <w:sz w:val="28"/>
          <w:szCs w:val="28"/>
        </w:rPr>
        <w:t xml:space="preserve"> реализации полномочий субъекта Российской Федерации, установленных</w:t>
      </w:r>
      <w:r>
        <w:rPr>
          <w:rFonts w:eastAsia="Calibri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частью 3 статьи 91 Федерального закона от 20.03.2025 №</w:t>
      </w:r>
      <w:r w:rsidR="004C4552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>33-ФЗ «Об общих принципах организации местного самоуправления в Российской Федерации» (далее – Федеральный закон №</w:t>
      </w:r>
      <w:r w:rsidR="004C4552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>33-ФЗ),</w:t>
      </w:r>
      <w:r>
        <w:rPr>
          <w:rFonts w:eastAsia="Calibri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согласно</w:t>
      </w:r>
      <w:r>
        <w:rPr>
          <w:rFonts w:eastAsia="Calibri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к</w:t>
      </w:r>
      <w:r>
        <w:rPr>
          <w:rFonts w:ascii="Times New Roman" w:eastAsia="Times New Roman" w:hAnsi="Times New Roman"/>
          <w:sz w:val="28"/>
          <w:szCs w:val="28"/>
        </w:rPr>
        <w:t>оторой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со дня вступления в силу </w:t>
      </w:r>
      <w:r>
        <w:rPr>
          <w:rFonts w:ascii="Times New Roman" w:eastAsia="Times New Roman" w:hAnsi="Times New Roman"/>
          <w:sz w:val="28"/>
          <w:szCs w:val="28"/>
        </w:rPr>
        <w:t xml:space="preserve">Федерального закона </w:t>
      </w:r>
      <w:r w:rsidR="004C4552">
        <w:rPr>
          <w:rFonts w:ascii="Times New Roman" w:eastAsia="Times New Roman" w:hAnsi="Times New Roman"/>
          <w:sz w:val="28"/>
          <w:szCs w:val="28"/>
        </w:rPr>
        <w:t>№ 33-ФЗ</w:t>
      </w:r>
      <w:r w:rsidR="004C455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могут быть приняты законы субъектов Российской Федерации, устанавливающие территориальную организацию местного самоуправления в соответствующем субъекте Российской Федерации с осуществлением ме</w:t>
      </w:r>
      <w:r>
        <w:rPr>
          <w:rFonts w:ascii="Times New Roman" w:eastAsia="Times New Roman" w:hAnsi="Times New Roman"/>
          <w:sz w:val="28"/>
          <w:szCs w:val="28"/>
        </w:rPr>
        <w:t>стного самоуправления в видах муниципальных образований, указанных в пунктах 1 и 2 части 2 статьи 9 Федерального закона №</w:t>
      </w:r>
      <w:r w:rsidR="004C4552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>33-ФЗ: городских округах и муниципальных округах.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090EE3" w:rsidRDefault="00841E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 закона устанавливает территориальную организацию местного самоуправления в Но</w:t>
      </w:r>
      <w:r>
        <w:rPr>
          <w:rFonts w:ascii="Times New Roman" w:hAnsi="Times New Roman"/>
          <w:sz w:val="28"/>
          <w:szCs w:val="28"/>
        </w:rPr>
        <w:t xml:space="preserve">восибирской области, </w:t>
      </w:r>
      <w:r>
        <w:rPr>
          <w:rFonts w:ascii="Times New Roman" w:hAnsi="Times New Roman"/>
          <w:sz w:val="28"/>
          <w:szCs w:val="28"/>
        </w:rPr>
        <w:t>предусматривает формирование органов местного самоуправления в образуемых настоящим проектом закона муниципальных округах</w:t>
      </w:r>
      <w:r>
        <w:rPr>
          <w:rFonts w:ascii="Times New Roman" w:hAnsi="Times New Roman"/>
          <w:sz w:val="28"/>
          <w:szCs w:val="28"/>
          <w:highlight w:val="white"/>
        </w:rPr>
        <w:t>, а также регулирует иные вопросы организации местного самоуправления в Новосибирской области.</w:t>
      </w:r>
    </w:p>
    <w:p w:rsidR="00090EE3" w:rsidRDefault="00841E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н</w:t>
      </w:r>
      <w:r>
        <w:rPr>
          <w:rFonts w:ascii="Times New Roman" w:hAnsi="Times New Roman"/>
          <w:sz w:val="28"/>
          <w:szCs w:val="28"/>
        </w:rPr>
        <w:t>а территории Новосибирской области местное самоуправление осуществляется в 354 муниципальных образованиях, в том числе в 5 городских округах, 9 муниципальных округах, 21 муниципальном районе, 21 городском поселении, 298 сельских поселениях.</w:t>
      </w:r>
    </w:p>
    <w:p w:rsidR="00090EE3" w:rsidRDefault="00841E74">
      <w:pPr>
        <w:spacing w:after="6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связи с приня</w:t>
      </w:r>
      <w:r>
        <w:rPr>
          <w:rFonts w:ascii="Times New Roman" w:eastAsia="Times New Roman" w:hAnsi="Times New Roman"/>
          <w:sz w:val="28"/>
          <w:szCs w:val="28"/>
        </w:rPr>
        <w:t>тием Федерального закона №</w:t>
      </w:r>
      <w:r w:rsidR="004C4552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 xml:space="preserve">33-ФЗ проектом закона </w:t>
      </w:r>
      <w:r>
        <w:rPr>
          <w:rFonts w:ascii="Times New Roman" w:eastAsia="Times New Roman" w:hAnsi="Times New Roman"/>
          <w:sz w:val="28"/>
          <w:szCs w:val="28"/>
        </w:rPr>
        <w:t>предлагается установить на территории Новосибирской области одноуровневую систему организации местного самоуправления, предусмотрев осуществление местного самоуправления в городских округах и муниципальных о</w:t>
      </w:r>
      <w:r>
        <w:rPr>
          <w:rFonts w:ascii="Times New Roman" w:eastAsia="Times New Roman" w:hAnsi="Times New Roman"/>
          <w:sz w:val="28"/>
          <w:szCs w:val="28"/>
        </w:rPr>
        <w:t>кругах.</w:t>
      </w:r>
    </w:p>
    <w:p w:rsidR="00090EE3" w:rsidRDefault="00841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Согласно части 8 статьи 91 Федерального закона №</w:t>
      </w:r>
      <w:r w:rsidR="004C4552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>33-ФЗ</w:t>
      </w:r>
      <w:r>
        <w:rPr>
          <w:rFonts w:ascii="Times New Roman" w:eastAsia="Times New Roman" w:hAnsi="Times New Roman"/>
          <w:sz w:val="28"/>
          <w:szCs w:val="28"/>
        </w:rPr>
        <w:t xml:space="preserve"> законом субъекта Российской Федерации, принимаемым в соответствии с частью 3 данной статьи, может быть предусмотрено образование муниципального округа или городского округа в границах, совпадаю</w:t>
      </w:r>
      <w:r>
        <w:rPr>
          <w:rFonts w:ascii="Times New Roman" w:eastAsia="Times New Roman" w:hAnsi="Times New Roman"/>
          <w:sz w:val="28"/>
          <w:szCs w:val="28"/>
        </w:rPr>
        <w:t xml:space="preserve">щих с границами территории существовавшего по состоянию на день вступления в силу </w:t>
      </w:r>
      <w:r>
        <w:rPr>
          <w:rFonts w:ascii="Times New Roman" w:eastAsia="Times New Roman" w:hAnsi="Times New Roman"/>
          <w:sz w:val="28"/>
          <w:szCs w:val="28"/>
        </w:rPr>
        <w:t xml:space="preserve">Федерального закона </w:t>
      </w:r>
      <w:r w:rsidR="004C4552">
        <w:rPr>
          <w:rFonts w:ascii="Times New Roman" w:eastAsia="Times New Roman" w:hAnsi="Times New Roman"/>
          <w:sz w:val="28"/>
          <w:szCs w:val="28"/>
        </w:rPr>
        <w:t>№ 33-ФЗ</w:t>
      </w:r>
      <w:r w:rsidR="004C4552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поселения (сельского, городского), а также муниципального района. В случае, если в границах всех поселений, входивших в состав территории муниципа</w:t>
      </w:r>
      <w:r>
        <w:rPr>
          <w:rFonts w:ascii="Times New Roman" w:eastAsia="Times New Roman" w:hAnsi="Times New Roman"/>
          <w:sz w:val="28"/>
          <w:szCs w:val="28"/>
        </w:rPr>
        <w:t>льного района, образованы муниципальные и (или) городские округа, муниципальный район упраздняется.</w:t>
      </w:r>
    </w:p>
    <w:p w:rsidR="00090EE3" w:rsidRDefault="00841E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В соответствии с указанной нормой предлагается образовать муниципальные округа на территории</w:t>
      </w: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 21 муниципального </w:t>
      </w:r>
      <w:r>
        <w:rPr>
          <w:rFonts w:ascii="Times New Roman" w:eastAsia="Times New Roman" w:hAnsi="Times New Roman"/>
          <w:sz w:val="28"/>
          <w:szCs w:val="28"/>
        </w:rPr>
        <w:t>района Новосибирской области в существующих г</w:t>
      </w:r>
      <w:r>
        <w:rPr>
          <w:rFonts w:ascii="Times New Roman" w:eastAsia="Times New Roman" w:hAnsi="Times New Roman"/>
          <w:sz w:val="28"/>
          <w:szCs w:val="28"/>
        </w:rPr>
        <w:t xml:space="preserve">раницах, установленных 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 xml:space="preserve">Законом Новосибирской области от </w:t>
      </w:r>
      <w:r w:rsidR="004C4552"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0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2</w:t>
      </w:r>
      <w:r w:rsidR="004C4552"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.06.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 xml:space="preserve">2004 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№</w:t>
      </w:r>
      <w:r w:rsidR="004C4552"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200-ОЗ «О статусе и границах муниципальных образований Новосибирской области»</w:t>
      </w:r>
      <w:r w:rsidR="004C4552" w:rsidRPr="004C4552">
        <w:rPr>
          <w:rFonts w:ascii="Times New Roman" w:eastAsia="Times New Roman" w:hAnsi="Times New Roman"/>
          <w:sz w:val="28"/>
          <w:szCs w:val="28"/>
        </w:rPr>
        <w:t xml:space="preserve"> </w:t>
      </w:r>
      <w:r w:rsidR="004C4552">
        <w:rPr>
          <w:rFonts w:ascii="Times New Roman" w:eastAsia="Times New Roman" w:hAnsi="Times New Roman"/>
          <w:sz w:val="28"/>
          <w:szCs w:val="28"/>
        </w:rPr>
        <w:t xml:space="preserve">(далее – </w:t>
      </w:r>
      <w:r w:rsidR="004C4552">
        <w:rPr>
          <w:rFonts w:ascii="Times New Roman" w:eastAsia="Times New Roman" w:hAnsi="Times New Roman"/>
          <w:sz w:val="28"/>
          <w:szCs w:val="28"/>
        </w:rPr>
        <w:t>Закон Новосибирской области №</w:t>
      </w:r>
      <w:r w:rsidR="004C4552">
        <w:rPr>
          <w:rFonts w:ascii="Times New Roman" w:eastAsia="Times New Roman" w:hAnsi="Times New Roman"/>
          <w:sz w:val="28"/>
          <w:szCs w:val="28"/>
        </w:rPr>
        <w:t> </w:t>
      </w:r>
      <w:r w:rsidR="004C4552">
        <w:rPr>
          <w:rFonts w:ascii="Times New Roman" w:eastAsia="Times New Roman" w:hAnsi="Times New Roman"/>
          <w:sz w:val="28"/>
          <w:szCs w:val="28"/>
        </w:rPr>
        <w:t>200-ОЗ</w:t>
      </w:r>
      <w:r w:rsidR="004C4552">
        <w:rPr>
          <w:rFonts w:ascii="Times New Roman" w:eastAsia="Times New Roman" w:hAnsi="Times New Roman"/>
          <w:sz w:val="28"/>
          <w:szCs w:val="28"/>
        </w:rPr>
        <w:t>)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.</w:t>
      </w:r>
    </w:p>
    <w:p w:rsidR="00090EE3" w:rsidRDefault="00841E74">
      <w:pPr>
        <w:pStyle w:val="ConsPlusNormal"/>
        <w:ind w:firstLine="709"/>
        <w:jc w:val="both"/>
        <w:rPr>
          <w:rFonts w:eastAsia="Calibri"/>
          <w:lang w:eastAsia="en-US"/>
        </w:rPr>
      </w:pPr>
      <w:r>
        <w:t>В соответствии с частями 4, 5</w:t>
      </w:r>
      <w:r>
        <w:rPr>
          <w:rFonts w:eastAsia="Calibri"/>
          <w:lang w:eastAsia="en-US"/>
        </w:rPr>
        <w:t xml:space="preserve"> статьи 91 Федерального закона №</w:t>
      </w:r>
      <w:r w:rsidR="004C4552">
        <w:rPr>
          <w:rFonts w:eastAsia="Calibri"/>
          <w:lang w:eastAsia="en-US"/>
        </w:rPr>
        <w:t> </w:t>
      </w:r>
      <w:r>
        <w:rPr>
          <w:rFonts w:eastAsia="Calibri"/>
          <w:lang w:eastAsia="en-US"/>
        </w:rPr>
        <w:t>33-ФЗ:</w:t>
      </w:r>
    </w:p>
    <w:p w:rsidR="00090EE3" w:rsidRDefault="00841E74">
      <w:pPr>
        <w:pStyle w:val="ConsPlusNormal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1)</w:t>
      </w:r>
      <w:r w:rsidR="007558E0">
        <w:rPr>
          <w:rFonts w:eastAsia="Calibri"/>
          <w:lang w:eastAsia="en-US"/>
        </w:rPr>
        <w:t> </w:t>
      </w:r>
      <w:r>
        <w:rPr>
          <w:rFonts w:eastAsia="Calibri"/>
          <w:lang w:eastAsia="en-US"/>
        </w:rPr>
        <w:t>со дня вступления в силу закона субъекта Российской Федерации о переходе на одноуровневую систему организации местного самоуправления:</w:t>
      </w:r>
    </w:p>
    <w:p w:rsidR="00090EE3" w:rsidRDefault="00841E74">
      <w:pPr>
        <w:pStyle w:val="ConsPlusNormal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новые выборы глав поселений, муниципальных районов, избираемых на муниципальных выборах, депутатов представительных ор</w:t>
      </w:r>
      <w:r>
        <w:rPr>
          <w:rFonts w:eastAsia="Calibri"/>
          <w:lang w:eastAsia="en-US"/>
        </w:rPr>
        <w:t>ганов поселений, муниципальных районов не назначаются и не проводятся, за исключением дополнительных выборов депутатов представительного органа муниципального образования, а также выборов главы муниципального образования на срок до окончания срока полномоч</w:t>
      </w:r>
      <w:r>
        <w:rPr>
          <w:rFonts w:eastAsia="Calibri"/>
          <w:lang w:eastAsia="en-US"/>
        </w:rPr>
        <w:t>ий представительного органа соответствующего муниципального образования в соответствии с законом субъекта Российской Федерации;</w:t>
      </w:r>
    </w:p>
    <w:p w:rsidR="00090EE3" w:rsidRDefault="00841E74">
      <w:pPr>
        <w:pStyle w:val="ConsPlusNormal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представительные органы сельских поселений, городских поселений </w:t>
      </w:r>
      <w:r>
        <w:rPr>
          <w:rFonts w:eastAsia="Calibri"/>
          <w:lang w:eastAsia="en-US"/>
        </w:rPr>
        <w:t>и муниципальных районов осуществляют свои полномочия до истечен</w:t>
      </w:r>
      <w:r>
        <w:rPr>
          <w:rFonts w:eastAsia="Calibri"/>
          <w:lang w:eastAsia="en-US"/>
        </w:rPr>
        <w:t>ия срока полномочий, предусмотренного уставами указанных муниципальных образований.</w:t>
      </w:r>
    </w:p>
    <w:p w:rsidR="00090EE3" w:rsidRDefault="00841E74">
      <w:pPr>
        <w:pStyle w:val="ConsPlusNormal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Проектом закона</w:t>
      </w:r>
      <w:r>
        <w:t xml:space="preserve"> со дня вступления в силу </w:t>
      </w:r>
      <w:r w:rsidR="007558E0">
        <w:t>з</w:t>
      </w:r>
      <w:r>
        <w:t>акона</w:t>
      </w:r>
      <w:r>
        <w:t xml:space="preserve"> </w:t>
      </w:r>
      <w:bookmarkStart w:id="0" w:name="_GoBack"/>
      <w:bookmarkEnd w:id="0"/>
      <w:r>
        <w:t>и до 1 января 2031 года устанавливается переходный период</w:t>
      </w:r>
      <w:r>
        <w:rPr>
          <w:rFonts w:eastAsia="Calibri"/>
          <w:lang w:eastAsia="en-US"/>
        </w:rPr>
        <w:t>.</w:t>
      </w:r>
    </w:p>
    <w:p w:rsidR="00090EE3" w:rsidRDefault="00841E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течение переходного периода осуществляе</w:t>
      </w:r>
      <w:r>
        <w:rPr>
          <w:rFonts w:ascii="Times New Roman" w:eastAsia="Times New Roman" w:hAnsi="Times New Roman"/>
          <w:sz w:val="28"/>
          <w:szCs w:val="28"/>
        </w:rPr>
        <w:t>тся формирование органов местного самоуправления вновь образованных муниципальных образований, принимаются уставы вновь образованных муниципальных образований, а также завершается урегулирование иных вопросов, связанных с устанавливаемой в соответствии с п</w:t>
      </w:r>
      <w:r>
        <w:rPr>
          <w:rFonts w:ascii="Times New Roman" w:eastAsia="Times New Roman" w:hAnsi="Times New Roman"/>
          <w:sz w:val="28"/>
          <w:szCs w:val="28"/>
        </w:rPr>
        <w:t>редлагаем</w:t>
      </w:r>
      <w:r w:rsidR="007558E0">
        <w:rPr>
          <w:rFonts w:ascii="Times New Roman" w:eastAsia="Times New Roman" w:hAnsi="Times New Roman"/>
          <w:sz w:val="28"/>
          <w:szCs w:val="28"/>
        </w:rPr>
        <w:t>ой</w:t>
      </w:r>
      <w:r>
        <w:rPr>
          <w:rFonts w:ascii="Times New Roman" w:eastAsia="Times New Roman" w:hAnsi="Times New Roman"/>
          <w:sz w:val="28"/>
          <w:szCs w:val="28"/>
        </w:rPr>
        <w:t xml:space="preserve"> проектом закона территориальной организацией местного самоуправления в Новосибирской области.</w:t>
      </w:r>
    </w:p>
    <w:p w:rsidR="00090EE3" w:rsidRDefault="00841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Проектом закона определяется </w:t>
      </w:r>
      <w:r>
        <w:rPr>
          <w:rFonts w:ascii="Times New Roman" w:eastAsia="Calibri" w:hAnsi="Times New Roman"/>
          <w:sz w:val="28"/>
          <w:szCs w:val="28"/>
        </w:rPr>
        <w:t xml:space="preserve">порядок формирования представительных органов </w:t>
      </w:r>
      <w:r>
        <w:rPr>
          <w:rFonts w:ascii="Times New Roman" w:hAnsi="Times New Roman"/>
          <w:sz w:val="28"/>
          <w:szCs w:val="28"/>
        </w:rPr>
        <w:t>вновь образованных муниципальных образований</w:t>
      </w:r>
      <w:r>
        <w:rPr>
          <w:rFonts w:ascii="Times New Roman" w:eastAsia="Calibri" w:hAnsi="Times New Roman"/>
          <w:sz w:val="28"/>
          <w:szCs w:val="28"/>
        </w:rPr>
        <w:t xml:space="preserve">, порядок избрания первых глав </w:t>
      </w:r>
      <w:r>
        <w:rPr>
          <w:rFonts w:ascii="Times New Roman" w:hAnsi="Times New Roman"/>
          <w:sz w:val="28"/>
          <w:szCs w:val="28"/>
        </w:rPr>
        <w:t>вновь образованных муниципальных образований</w:t>
      </w:r>
      <w:r>
        <w:rPr>
          <w:rFonts w:ascii="Times New Roman" w:eastAsia="Calibri" w:hAnsi="Times New Roman"/>
          <w:sz w:val="28"/>
          <w:szCs w:val="28"/>
        </w:rPr>
        <w:t xml:space="preserve"> с учетом истечения сроков полномочий представительных органов муниципальных районов. </w:t>
      </w:r>
    </w:p>
    <w:p w:rsidR="00090EE3" w:rsidRDefault="00841E7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 формирования органов местного самоуправления вновь образованных муниципальных образований полномочия по решению вопросов м</w:t>
      </w:r>
      <w:r>
        <w:rPr>
          <w:rFonts w:ascii="Times New Roman" w:eastAsia="Times New Roman" w:hAnsi="Times New Roman"/>
          <w:sz w:val="28"/>
          <w:szCs w:val="28"/>
        </w:rPr>
        <w:t>естного значения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непосредственного обеспечения жизнедеятельности населения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)</w:t>
      </w:r>
      <w:r>
        <w:rPr>
          <w:rFonts w:ascii="Times New Roman" w:eastAsia="Times New Roman" w:hAnsi="Times New Roman"/>
          <w:sz w:val="28"/>
          <w:szCs w:val="28"/>
        </w:rPr>
        <w:t xml:space="preserve"> на соответствующих территориях осуществляют органы местного самоуправления, которые на день создания соответствующего муниципального округа осуществляли полномочия по решению вопр</w:t>
      </w:r>
      <w:r>
        <w:rPr>
          <w:rFonts w:ascii="Times New Roman" w:eastAsia="Times New Roman" w:hAnsi="Times New Roman"/>
          <w:sz w:val="28"/>
          <w:szCs w:val="28"/>
        </w:rPr>
        <w:t>осов местного значения на этих территориях.</w:t>
      </w:r>
    </w:p>
    <w:p w:rsidR="00090EE3" w:rsidRDefault="00841E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После принятия </w:t>
      </w:r>
      <w:r>
        <w:rPr>
          <w:rFonts w:ascii="Times New Roman" w:eastAsia="Times New Roman" w:hAnsi="Times New Roman"/>
          <w:sz w:val="28"/>
          <w:szCs w:val="28"/>
        </w:rPr>
        <w:t>закона на территории Новосибирской области местное самоуправление будет осуществляться в 35 муниципальных образованиях, в том числе в 5 городских округах и 30 муниципальных округах.</w:t>
      </w:r>
    </w:p>
    <w:p w:rsidR="00090EE3" w:rsidRDefault="00841E7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 xml:space="preserve">Проектом закона предлагается определить административные центры всех муниципальных образований Новосибирской области: муниципальных и городских округов. </w:t>
      </w:r>
    </w:p>
    <w:p w:rsidR="00090EE3" w:rsidRDefault="00841E74">
      <w:pPr>
        <w:spacing w:after="0" w:line="240" w:lineRule="auto"/>
        <w:ind w:firstLine="709"/>
        <w:jc w:val="both"/>
      </w:pPr>
      <w:r>
        <w:rPr>
          <w:rFonts w:ascii="Times New Roman" w:eastAsia="Times New Roman" w:hAnsi="Times New Roman"/>
          <w:sz w:val="28"/>
          <w:szCs w:val="28"/>
        </w:rPr>
        <w:t>Проектом закона в связи с установлением территориальной организации местного самоуправления в Новосиби</w:t>
      </w:r>
      <w:r>
        <w:rPr>
          <w:rFonts w:ascii="Times New Roman" w:eastAsia="Times New Roman" w:hAnsi="Times New Roman"/>
          <w:sz w:val="28"/>
          <w:szCs w:val="28"/>
        </w:rPr>
        <w:t xml:space="preserve">рской области в видах муниципальных образований, </w:t>
      </w:r>
      <w:r>
        <w:rPr>
          <w:rFonts w:ascii="Times New Roman" w:eastAsia="Times New Roman" w:hAnsi="Times New Roman"/>
          <w:sz w:val="28"/>
          <w:szCs w:val="28"/>
        </w:rPr>
        <w:t>указанных в пунктах 1 и 2 части 2 статьи 9 Федерального закона №</w:t>
      </w:r>
      <w:r w:rsidR="007558E0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>33-ФЗ, а именно</w:t>
      </w:r>
      <w:r w:rsidR="007558E0">
        <w:rPr>
          <w:rFonts w:ascii="Times New Roman" w:eastAsia="Times New Roman" w:hAnsi="Times New Roman"/>
          <w:sz w:val="28"/>
          <w:szCs w:val="28"/>
        </w:rPr>
        <w:t>:</w:t>
      </w:r>
      <w:r>
        <w:rPr>
          <w:rFonts w:ascii="Times New Roman" w:eastAsia="Times New Roman" w:hAnsi="Times New Roman"/>
          <w:sz w:val="28"/>
          <w:szCs w:val="28"/>
        </w:rPr>
        <w:t xml:space="preserve"> в городских округах и муниципальных округах</w:t>
      </w:r>
      <w:r w:rsidR="007558E0">
        <w:rPr>
          <w:rFonts w:ascii="Times New Roman" w:eastAsia="Times New Roman" w:hAnsi="Times New Roman"/>
          <w:sz w:val="28"/>
          <w:szCs w:val="28"/>
        </w:rPr>
        <w:t xml:space="preserve"> –</w:t>
      </w:r>
      <w:r>
        <w:rPr>
          <w:rFonts w:ascii="Times New Roman" w:eastAsia="Times New Roman" w:hAnsi="Times New Roman"/>
          <w:sz w:val="28"/>
          <w:szCs w:val="28"/>
        </w:rPr>
        <w:t xml:space="preserve"> предлагается</w:t>
      </w:r>
      <w:r>
        <w:rPr>
          <w:rFonts w:ascii="Times New Roman" w:eastAsia="Times New Roman" w:hAnsi="Times New Roman"/>
          <w:sz w:val="28"/>
          <w:szCs w:val="28"/>
        </w:rPr>
        <w:t xml:space="preserve"> внести изменения в </w:t>
      </w:r>
      <w:r w:rsidR="007558E0">
        <w:rPr>
          <w:rFonts w:ascii="Times New Roman" w:eastAsia="Times New Roman" w:hAnsi="Times New Roman"/>
          <w:sz w:val="28"/>
          <w:szCs w:val="28"/>
          <w:lang w:eastAsia="ru-RU"/>
        </w:rPr>
        <w:t>Закон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№</w:t>
      </w:r>
      <w:r w:rsidR="007558E0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>200-</w:t>
      </w:r>
      <w:r>
        <w:rPr>
          <w:rFonts w:ascii="Times New Roman" w:eastAsia="Times New Roman" w:hAnsi="Times New Roman"/>
          <w:sz w:val="28"/>
          <w:szCs w:val="28"/>
        </w:rPr>
        <w:t xml:space="preserve">ОЗ </w:t>
      </w:r>
      <w:r>
        <w:rPr>
          <w:rFonts w:ascii="Times New Roman" w:eastAsia="Times New Roman" w:hAnsi="Times New Roman"/>
          <w:sz w:val="28"/>
          <w:szCs w:val="28"/>
        </w:rPr>
        <w:t xml:space="preserve">и </w:t>
      </w:r>
      <w:r w:rsidR="007558E0">
        <w:rPr>
          <w:rFonts w:ascii="Times New Roman" w:eastAsia="Times New Roman" w:hAnsi="Times New Roman"/>
          <w:sz w:val="28"/>
          <w:szCs w:val="28"/>
        </w:rPr>
        <w:t xml:space="preserve">Закон Новосибирской области </w:t>
      </w:r>
      <w:r>
        <w:rPr>
          <w:rFonts w:ascii="Times New Roman" w:eastAsia="Times New Roman" w:hAnsi="Times New Roman"/>
          <w:sz w:val="28"/>
          <w:szCs w:val="28"/>
        </w:rPr>
        <w:t>от 16.03.2006 №</w:t>
      </w:r>
      <w:r w:rsidR="007558E0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>3-ОЗ «О наименованиях органов местного самоуправления в Новосибирской области» (далее – Закон Новосибирской области №</w:t>
      </w:r>
      <w:r w:rsidR="007558E0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 xml:space="preserve">3-ОЗ) в целях приведения их в соответствие нормам </w:t>
      </w:r>
      <w:r>
        <w:rPr>
          <w:rFonts w:ascii="Times New Roman" w:eastAsia="Times New Roman" w:hAnsi="Times New Roman"/>
          <w:sz w:val="28"/>
          <w:szCs w:val="28"/>
        </w:rPr>
        <w:t xml:space="preserve">Федерального закона </w:t>
      </w:r>
      <w:r w:rsidR="007558E0">
        <w:rPr>
          <w:rFonts w:ascii="Times New Roman" w:eastAsia="Times New Roman" w:hAnsi="Times New Roman"/>
          <w:sz w:val="28"/>
          <w:szCs w:val="28"/>
        </w:rPr>
        <w:t xml:space="preserve">№ 33-ФЗ </w:t>
      </w:r>
      <w:r>
        <w:rPr>
          <w:rFonts w:ascii="Times New Roman" w:eastAsia="Times New Roman" w:hAnsi="Times New Roman"/>
          <w:sz w:val="28"/>
          <w:szCs w:val="28"/>
        </w:rPr>
        <w:t xml:space="preserve">и положениям </w:t>
      </w:r>
      <w:r>
        <w:rPr>
          <w:rFonts w:ascii="Times New Roman" w:eastAsia="Times New Roman" w:hAnsi="Times New Roman"/>
          <w:sz w:val="28"/>
          <w:szCs w:val="28"/>
        </w:rPr>
        <w:t xml:space="preserve">проекта закона. </w:t>
      </w:r>
    </w:p>
    <w:p w:rsidR="00090EE3" w:rsidRDefault="00841E74">
      <w:pPr>
        <w:spacing w:after="0" w:line="240" w:lineRule="auto"/>
        <w:ind w:right="49" w:firstLine="69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Проект закона состоит из 30 статей. </w:t>
      </w:r>
      <w:r>
        <w:rPr>
          <w:rFonts w:ascii="Times New Roman" w:eastAsia="Times New Roman" w:hAnsi="Times New Roman"/>
          <w:color w:val="000000"/>
          <w:sz w:val="28"/>
          <w:highlight w:val="white"/>
          <w:lang w:eastAsia="ru-RU"/>
        </w:rPr>
        <w:t>Статьями 1</w:t>
      </w:r>
      <w:r w:rsidR="007558E0">
        <w:rPr>
          <w:rFonts w:ascii="Times New Roman" w:eastAsia="Times New Roman" w:hAnsi="Times New Roman"/>
          <w:color w:val="000000"/>
          <w:sz w:val="28"/>
          <w:highlight w:val="white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8"/>
          <w:highlight w:val="white"/>
          <w:lang w:eastAsia="ru-RU"/>
        </w:rPr>
        <w:t>24</w:t>
      </w:r>
      <w:r w:rsidR="007558E0">
        <w:rPr>
          <w:rFonts w:ascii="Times New Roman" w:eastAsia="Times New Roman" w:hAnsi="Times New Roman"/>
          <w:color w:val="000000"/>
          <w:sz w:val="28"/>
          <w:highlight w:val="white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проекта закона устанавливается территориальная организация местного самоуправлен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ия в Новосибирской области, предусматривающая в соответствии с </w:t>
      </w:r>
      <w:r>
        <w:rPr>
          <w:rFonts w:ascii="Times New Roman" w:eastAsia="Times New Roman" w:hAnsi="Times New Roman"/>
          <w:sz w:val="28"/>
          <w:szCs w:val="28"/>
        </w:rPr>
        <w:t>пунктами 1 и 2 части 2 статьи 9 Федерального закона №</w:t>
      </w:r>
      <w:r w:rsidR="007558E0">
        <w:rPr>
          <w:rFonts w:ascii="Times New Roman" w:eastAsia="Times New Roman" w:hAnsi="Times New Roman"/>
          <w:sz w:val="28"/>
          <w:szCs w:val="28"/>
        </w:rPr>
        <w:t> </w:t>
      </w:r>
      <w:r>
        <w:rPr>
          <w:rFonts w:ascii="Times New Roman" w:eastAsia="Times New Roman" w:hAnsi="Times New Roman"/>
          <w:sz w:val="28"/>
          <w:szCs w:val="28"/>
        </w:rPr>
        <w:t>33-ФЗ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>осуществление местного самоуправления в городских округах и муниципальных округах.</w:t>
      </w:r>
    </w:p>
    <w:p w:rsidR="00090EE3" w:rsidRDefault="00841E74">
      <w:pPr>
        <w:spacing w:after="0" w:line="240" w:lineRule="auto"/>
        <w:ind w:right="49" w:firstLine="691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highlight w:val="white"/>
        </w:rPr>
        <w:t>Статьями 25</w:t>
      </w:r>
      <w:r w:rsidR="007558E0">
        <w:rPr>
          <w:rFonts w:ascii="Times New Roman" w:eastAsia="Times New Roman" w:hAnsi="Times New Roman"/>
          <w:sz w:val="28"/>
          <w:szCs w:val="28"/>
          <w:highlight w:val="white"/>
        </w:rPr>
        <w:t>–</w:t>
      </w:r>
      <w:r>
        <w:rPr>
          <w:rFonts w:ascii="Times New Roman" w:eastAsia="Times New Roman" w:hAnsi="Times New Roman"/>
          <w:sz w:val="28"/>
          <w:szCs w:val="28"/>
        </w:rPr>
        <w:t>27</w:t>
      </w:r>
      <w:r>
        <w:rPr>
          <w:rFonts w:ascii="Times New Roman" w:eastAsia="Times New Roman" w:hAnsi="Times New Roman"/>
          <w:sz w:val="28"/>
          <w:szCs w:val="28"/>
        </w:rPr>
        <w:t xml:space="preserve"> устанавливается переходный период, </w:t>
      </w:r>
      <w:r>
        <w:rPr>
          <w:rFonts w:ascii="Times New Roman" w:eastAsia="Times New Roman" w:hAnsi="Times New Roman"/>
          <w:sz w:val="28"/>
          <w:szCs w:val="28"/>
        </w:rPr>
        <w:t xml:space="preserve">определяется порядок формирования органов местного самоуправления вновь образованных муниципальных образований, определяются органы, реализующие </w:t>
      </w:r>
      <w:r>
        <w:rPr>
          <w:rFonts w:ascii="Times New Roman" w:eastAsia="Times New Roman" w:hAnsi="Times New Roman"/>
          <w:sz w:val="28"/>
          <w:szCs w:val="28"/>
        </w:rPr>
        <w:t>полномочия по решению вопросов местного значения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непосредственного обеспечения жизнедеятельности населения</w:t>
      </w:r>
      <w:r>
        <w:rPr>
          <w:rFonts w:ascii="Times New Roman" w:eastAsia="Times New Roman" w:hAnsi="Times New Roman"/>
          <w:sz w:val="28"/>
          <w:szCs w:val="28"/>
          <w:highlight w:val="white"/>
        </w:rPr>
        <w:t>)</w:t>
      </w:r>
      <w:r>
        <w:rPr>
          <w:rFonts w:ascii="Times New Roman" w:eastAsia="Times New Roman" w:hAnsi="Times New Roman"/>
          <w:sz w:val="28"/>
          <w:szCs w:val="28"/>
        </w:rPr>
        <w:t xml:space="preserve"> на</w:t>
      </w:r>
      <w:r>
        <w:rPr>
          <w:rFonts w:ascii="Times New Roman" w:eastAsia="Times New Roman" w:hAnsi="Times New Roman"/>
          <w:sz w:val="28"/>
          <w:szCs w:val="28"/>
        </w:rPr>
        <w:t xml:space="preserve"> соответствующих территориях до формирования органов местного самоуправления вновь образованных муниципальных образований.</w:t>
      </w:r>
    </w:p>
    <w:p w:rsidR="00090EE3" w:rsidRDefault="00841E74">
      <w:pPr>
        <w:spacing w:after="0" w:line="240" w:lineRule="auto"/>
        <w:ind w:right="49"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highlight w:val="white"/>
        </w:rPr>
        <w:t xml:space="preserve">Статьей </w:t>
      </w:r>
      <w:r>
        <w:rPr>
          <w:rFonts w:ascii="Times New Roman" w:eastAsia="Times New Roman" w:hAnsi="Times New Roman"/>
          <w:sz w:val="28"/>
          <w:szCs w:val="28"/>
        </w:rPr>
        <w:t>28</w:t>
      </w:r>
      <w:r>
        <w:rPr>
          <w:rFonts w:ascii="Times New Roman" w:eastAsia="Times New Roman" w:hAnsi="Times New Roman"/>
          <w:sz w:val="28"/>
          <w:szCs w:val="28"/>
        </w:rPr>
        <w:t xml:space="preserve"> вносятся </w:t>
      </w:r>
      <w:r>
        <w:rPr>
          <w:rFonts w:ascii="Times New Roman" w:eastAsia="Times New Roman" w:hAnsi="Times New Roman"/>
          <w:sz w:val="28"/>
          <w:szCs w:val="28"/>
        </w:rPr>
        <w:t xml:space="preserve">изменения в Закон Новосибирской области 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№</w:t>
      </w:r>
      <w:r w:rsidR="007558E0"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>200-ОЗ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90EE3" w:rsidRDefault="00841E74">
      <w:pPr>
        <w:spacing w:after="0" w:line="240" w:lineRule="auto"/>
        <w:ind w:right="49" w:firstLine="691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Статьей 29 вносятся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изменения в Закон Новосибирской области №</w:t>
      </w:r>
      <w:r w:rsidR="007558E0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3-ОЗ.</w:t>
      </w:r>
    </w:p>
    <w:p w:rsidR="00090EE3" w:rsidRDefault="00841E74">
      <w:pPr>
        <w:spacing w:after="0" w:line="240" w:lineRule="auto"/>
        <w:ind w:right="49" w:firstLine="691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</w:rPr>
        <w:t>С</w:t>
      </w:r>
      <w:r>
        <w:rPr>
          <w:rFonts w:ascii="Times New Roman" w:eastAsia="Times New Roman" w:hAnsi="Times New Roman"/>
          <w:color w:val="000000"/>
          <w:sz w:val="28"/>
          <w:highlight w:val="white"/>
          <w:lang w:eastAsia="ru-RU"/>
        </w:rPr>
        <w:t xml:space="preserve">татьей 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>30</w:t>
      </w: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 устанавливается порядок вступления закона в силу.</w:t>
      </w:r>
    </w:p>
    <w:p w:rsidR="00090EE3" w:rsidRDefault="00841E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Проект закона не подлежит оценке регулирующего воздействия в связи с тем, что не содержит положений, устанавливающи</w:t>
      </w:r>
      <w:r>
        <w:rPr>
          <w:rFonts w:ascii="Times New Roman" w:eastAsia="Times New Roman" w:hAnsi="Times New Roman"/>
          <w:sz w:val="28"/>
          <w:szCs w:val="28"/>
        </w:rPr>
        <w:t>х новые или изменяющих ранее предусмотренные нормативными правовыми актами Новосибирской области обязательные требования, связанные с осуществлением предпринимательской и иной экономической деятельности, оценка соблюдения которых осуществляется в рамках го</w:t>
      </w:r>
      <w:r>
        <w:rPr>
          <w:rFonts w:ascii="Times New Roman" w:eastAsia="Times New Roman" w:hAnsi="Times New Roman"/>
          <w:sz w:val="28"/>
          <w:szCs w:val="28"/>
        </w:rPr>
        <w:t>сударственного контроля (надзора), привлечения в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экспертиз, устанавливающих новые или изменяющих ранее предусмотрен</w:t>
      </w:r>
      <w:r>
        <w:rPr>
          <w:rFonts w:ascii="Times New Roman" w:eastAsia="Times New Roman" w:hAnsi="Times New Roman"/>
          <w:sz w:val="28"/>
          <w:szCs w:val="28"/>
        </w:rPr>
        <w:t>ные нормативными правовыми актами Новосибирской области обязанности и запреты для субъектов предпринимательской и инвестиционной деятельности, а также устанавливающих или изменяющих ответственность за нарушение нормативных правовых актов Новосибирской обла</w:t>
      </w:r>
      <w:r>
        <w:rPr>
          <w:rFonts w:ascii="Times New Roman" w:eastAsia="Times New Roman" w:hAnsi="Times New Roman"/>
          <w:sz w:val="28"/>
          <w:szCs w:val="28"/>
        </w:rPr>
        <w:t>сти, затрагивающих вопросы осуществления предпринимательской и иной экономической деятельности.</w:t>
      </w:r>
    </w:p>
    <w:p w:rsidR="00090EE3" w:rsidRPr="007558E0" w:rsidRDefault="00090EE3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090EE3" w:rsidRPr="007558E0" w:rsidRDefault="00090EE3">
      <w:pPr>
        <w:spacing w:after="0" w:line="240" w:lineRule="auto"/>
        <w:ind w:firstLine="708"/>
        <w:jc w:val="both"/>
        <w:rPr>
          <w:rFonts w:ascii="Times New Roman" w:hAnsi="Times New Roman"/>
          <w:sz w:val="16"/>
          <w:szCs w:val="16"/>
        </w:rPr>
      </w:pPr>
    </w:p>
    <w:p w:rsidR="00090EE3" w:rsidRDefault="00841E74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Заместитель Председателя Правительства </w:t>
      </w:r>
    </w:p>
    <w:p w:rsidR="00090EE3" w:rsidRDefault="00841E74">
      <w:pPr>
        <w:spacing w:after="0" w:line="240" w:lineRule="auto"/>
        <w:contextualSpacing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Новосибирской области – </w:t>
      </w:r>
      <w:r>
        <w:rPr>
          <w:rFonts w:ascii="Times New Roman" w:eastAsia="Times New Roman" w:hAnsi="Times New Roman"/>
          <w:sz w:val="28"/>
          <w:szCs w:val="28"/>
          <w:highlight w:val="white"/>
          <w:lang w:eastAsia="ru-RU"/>
        </w:rPr>
        <w:t xml:space="preserve">министр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Р.В. Бурдин</w:t>
      </w:r>
    </w:p>
    <w:sectPr w:rsidR="00090EE3" w:rsidSect="004C4552">
      <w:headerReference w:type="default" r:id="rId8"/>
      <w:pgSz w:w="11906" w:h="16838"/>
      <w:pgMar w:top="567" w:right="567" w:bottom="1134" w:left="1418" w:header="709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E74" w:rsidRDefault="00841E74">
      <w:pPr>
        <w:spacing w:after="0" w:line="240" w:lineRule="auto"/>
      </w:pPr>
      <w:r>
        <w:separator/>
      </w:r>
    </w:p>
  </w:endnote>
  <w:endnote w:type="continuationSeparator" w:id="0">
    <w:p w:rsidR="00841E74" w:rsidRDefault="00841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">
    <w:altName w:val="Bahnschrift Light"/>
    <w:charset w:val="00"/>
    <w:family w:val="auto"/>
    <w:pitch w:val="default"/>
  </w:font>
  <w:font w:name="Liberation Sans">
    <w:altName w:val="Arial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E74" w:rsidRDefault="00841E74">
      <w:pPr>
        <w:spacing w:after="0" w:line="240" w:lineRule="auto"/>
      </w:pPr>
      <w:r>
        <w:separator/>
      </w:r>
    </w:p>
  </w:footnote>
  <w:footnote w:type="continuationSeparator" w:id="0">
    <w:p w:rsidR="00841E74" w:rsidRDefault="00841E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0EE3" w:rsidRDefault="00841E74">
    <w:pPr>
      <w:pStyle w:val="aa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 PAGE </w:instrText>
    </w:r>
    <w:r>
      <w:rPr>
        <w:rFonts w:ascii="Times New Roman" w:hAnsi="Times New Roman"/>
        <w:sz w:val="20"/>
        <w:szCs w:val="20"/>
      </w:rPr>
      <w:fldChar w:fldCharType="separate"/>
    </w:r>
    <w:r w:rsidR="007558E0">
      <w:rPr>
        <w:rFonts w:ascii="Times New Roman" w:hAnsi="Times New Roman"/>
        <w:noProof/>
        <w:sz w:val="20"/>
        <w:szCs w:val="20"/>
      </w:rPr>
      <w:t>3</w:t>
    </w:r>
    <w:r>
      <w:rPr>
        <w:rFonts w:ascii="Times New Roman" w:hAnsi="Times New Roman"/>
        <w:sz w:val="20"/>
        <w:szCs w:val="20"/>
      </w:rPr>
      <w:fldChar w:fldCharType="end"/>
    </w:r>
  </w:p>
  <w:p w:rsidR="00090EE3" w:rsidRDefault="00090EE3">
    <w:pPr>
      <w:pStyle w:val="aa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0EE3"/>
    <w:rsid w:val="00090EE3"/>
    <w:rsid w:val="004C4552"/>
    <w:rsid w:val="007558E0"/>
    <w:rsid w:val="00841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35A89"/>
  <w15:docId w15:val="{4E3B6277-3855-43AA-A1A7-E2093E2E8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qFormat/>
    <w:rPr>
      <w:sz w:val="48"/>
      <w:szCs w:val="48"/>
    </w:rPr>
  </w:style>
  <w:style w:type="character" w:customStyle="1" w:styleId="SubtitleChar">
    <w:name w:val="Subtitle Char"/>
    <w:basedOn w:val="a0"/>
    <w:uiPriority w:val="11"/>
    <w:qFormat/>
    <w:rPr>
      <w:sz w:val="24"/>
      <w:szCs w:val="24"/>
    </w:rPr>
  </w:style>
  <w:style w:type="character" w:customStyle="1" w:styleId="QuoteChar">
    <w:name w:val="Quote Char"/>
    <w:uiPriority w:val="29"/>
    <w:qFormat/>
    <w:rPr>
      <w:i/>
    </w:rPr>
  </w:style>
  <w:style w:type="character" w:customStyle="1" w:styleId="IntenseQuoteChar">
    <w:name w:val="Intense Quote Char"/>
    <w:uiPriority w:val="30"/>
    <w:qFormat/>
    <w:rPr>
      <w:i/>
    </w:rPr>
  </w:style>
  <w:style w:type="character" w:customStyle="1" w:styleId="HeaderChar">
    <w:name w:val="Header Char"/>
    <w:basedOn w:val="a0"/>
    <w:uiPriority w:val="99"/>
    <w:qFormat/>
  </w:style>
  <w:style w:type="character" w:customStyle="1" w:styleId="CaptionChar">
    <w:name w:val="Caption Char"/>
    <w:uiPriority w:val="99"/>
    <w:qFormat/>
  </w:style>
  <w:style w:type="character" w:customStyle="1" w:styleId="FootnoteTextChar">
    <w:name w:val="Footnote Text Char"/>
    <w:uiPriority w:val="99"/>
    <w:qFormat/>
    <w:rPr>
      <w:sz w:val="18"/>
    </w:rPr>
  </w:style>
  <w:style w:type="character" w:customStyle="1" w:styleId="EndnoteTextChar">
    <w:name w:val="Endnote Text Char"/>
    <w:uiPriority w:val="99"/>
    <w:qFormat/>
    <w:rPr>
      <w:sz w:val="20"/>
    </w:rPr>
  </w:style>
  <w:style w:type="character" w:customStyle="1" w:styleId="10">
    <w:name w:val="Заголовок 1 Знак"/>
    <w:basedOn w:val="a0"/>
    <w:link w:val="1"/>
    <w:uiPriority w:val="9"/>
    <w:qFormat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qFormat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qFormat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qFormat/>
    <w:rPr>
      <w:sz w:val="48"/>
      <w:szCs w:val="48"/>
    </w:rPr>
  </w:style>
  <w:style w:type="character" w:customStyle="1" w:styleId="a5">
    <w:name w:val="Подзаголовок Знак"/>
    <w:basedOn w:val="a0"/>
    <w:link w:val="a6"/>
    <w:uiPriority w:val="11"/>
    <w:qFormat/>
    <w:rPr>
      <w:sz w:val="24"/>
      <w:szCs w:val="24"/>
    </w:rPr>
  </w:style>
  <w:style w:type="character" w:customStyle="1" w:styleId="21">
    <w:name w:val="Цитата 2 Знак"/>
    <w:link w:val="22"/>
    <w:uiPriority w:val="29"/>
    <w:qFormat/>
    <w:rPr>
      <w:i/>
    </w:rPr>
  </w:style>
  <w:style w:type="character" w:customStyle="1" w:styleId="a7">
    <w:name w:val="Выделенная цитата Знак"/>
    <w:link w:val="a8"/>
    <w:uiPriority w:val="30"/>
    <w:qFormat/>
    <w:rPr>
      <w:i/>
    </w:rPr>
  </w:style>
  <w:style w:type="character" w:customStyle="1" w:styleId="a9">
    <w:name w:val="Верхний колонтитул Знак"/>
    <w:basedOn w:val="a0"/>
    <w:link w:val="aa"/>
    <w:uiPriority w:val="99"/>
    <w:qFormat/>
  </w:style>
  <w:style w:type="character" w:customStyle="1" w:styleId="FooterChar">
    <w:name w:val="Footer Char"/>
    <w:basedOn w:val="a0"/>
    <w:uiPriority w:val="99"/>
    <w:qFormat/>
  </w:style>
  <w:style w:type="character" w:customStyle="1" w:styleId="ab">
    <w:name w:val="Нижний колонтитул Знак"/>
    <w:link w:val="ac"/>
    <w:uiPriority w:val="99"/>
    <w:qFormat/>
  </w:style>
  <w:style w:type="character" w:styleId="ad">
    <w:name w:val="Hyperlink"/>
    <w:uiPriority w:val="99"/>
    <w:unhideWhenUsed/>
    <w:rPr>
      <w:color w:val="0563C1" w:themeColor="hyperlink"/>
      <w:u w:val="single"/>
    </w:rPr>
  </w:style>
  <w:style w:type="character" w:customStyle="1" w:styleId="ae">
    <w:name w:val="Текст сноски Знак"/>
    <w:link w:val="af"/>
    <w:uiPriority w:val="99"/>
    <w:qFormat/>
    <w:rPr>
      <w:sz w:val="18"/>
    </w:rPr>
  </w:style>
  <w:style w:type="character" w:customStyle="1" w:styleId="af0">
    <w:name w:val="Символ сноски"/>
    <w:uiPriority w:val="99"/>
    <w:unhideWhenUsed/>
    <w:qFormat/>
    <w:rPr>
      <w:vertAlign w:val="superscript"/>
    </w:rPr>
  </w:style>
  <w:style w:type="character" w:styleId="af1">
    <w:name w:val="footnote reference"/>
    <w:rPr>
      <w:vertAlign w:val="superscript"/>
    </w:rPr>
  </w:style>
  <w:style w:type="character" w:customStyle="1" w:styleId="af2">
    <w:name w:val="Текст концевой сноски Знак"/>
    <w:link w:val="af3"/>
    <w:uiPriority w:val="99"/>
    <w:qFormat/>
    <w:rPr>
      <w:sz w:val="20"/>
    </w:rPr>
  </w:style>
  <w:style w:type="character" w:customStyle="1" w:styleId="af4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af5">
    <w:name w:val="endnote reference"/>
    <w:rPr>
      <w:vertAlign w:val="superscript"/>
    </w:rPr>
  </w:style>
  <w:style w:type="character" w:styleId="af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f7">
    <w:name w:val="Текст примечания Знак"/>
    <w:basedOn w:val="a0"/>
    <w:link w:val="af8"/>
    <w:uiPriority w:val="99"/>
    <w:semiHidden/>
    <w:qFormat/>
    <w:rPr>
      <w:rFonts w:ascii="Calibri" w:eastAsia="Calibri" w:hAnsi="Calibri" w:cs="Times New Roman"/>
      <w:sz w:val="20"/>
      <w:szCs w:val="20"/>
    </w:rPr>
  </w:style>
  <w:style w:type="character" w:customStyle="1" w:styleId="af9">
    <w:name w:val="Тема примечания Знак"/>
    <w:basedOn w:val="af7"/>
    <w:link w:val="afa"/>
    <w:uiPriority w:val="99"/>
    <w:semiHidden/>
    <w:qFormat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b">
    <w:name w:val="Текст выноски Знак"/>
    <w:basedOn w:val="a0"/>
    <w:link w:val="afc"/>
    <w:uiPriority w:val="99"/>
    <w:semiHidden/>
    <w:qFormat/>
    <w:rPr>
      <w:rFonts w:ascii="Segoe UI" w:eastAsia="Calibri" w:hAnsi="Segoe UI" w:cs="Segoe UI"/>
      <w:sz w:val="18"/>
      <w:szCs w:val="18"/>
    </w:rPr>
  </w:style>
  <w:style w:type="character" w:styleId="afd">
    <w:name w:val="line number"/>
  </w:style>
  <w:style w:type="paragraph" w:styleId="a4">
    <w:name w:val="Title"/>
    <w:basedOn w:val="a"/>
    <w:next w:val="afe"/>
    <w:link w:val="a3"/>
    <w:uiPriority w:val="10"/>
    <w:qFormat/>
    <w:pPr>
      <w:spacing w:before="300"/>
      <w:contextualSpacing/>
    </w:pPr>
    <w:rPr>
      <w:sz w:val="48"/>
      <w:szCs w:val="48"/>
    </w:rPr>
  </w:style>
  <w:style w:type="paragraph" w:styleId="afe">
    <w:name w:val="Body Text"/>
    <w:basedOn w:val="a"/>
    <w:pPr>
      <w:spacing w:after="140"/>
    </w:pPr>
  </w:style>
  <w:style w:type="paragraph" w:styleId="aff">
    <w:name w:val="List"/>
    <w:basedOn w:val="afe"/>
    <w:rPr>
      <w:rFonts w:cs="Noto Sans"/>
    </w:rPr>
  </w:style>
  <w:style w:type="paragraph" w:styleId="aff0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paragraph" w:styleId="aff1">
    <w:name w:val="index heading"/>
    <w:basedOn w:val="a4"/>
  </w:style>
  <w:style w:type="paragraph" w:customStyle="1" w:styleId="user">
    <w:name w:val="Заголовок (user)"/>
    <w:basedOn w:val="a"/>
    <w:next w:val="afe"/>
    <w:qFormat/>
    <w:pPr>
      <w:keepNext/>
      <w:spacing w:before="240" w:after="120"/>
    </w:pPr>
    <w:rPr>
      <w:rFonts w:ascii="Liberation Sans" w:eastAsia="Tahoma" w:hAnsi="Liberation Sans" w:cs="Noto Sans"/>
      <w:sz w:val="28"/>
      <w:szCs w:val="28"/>
    </w:rPr>
  </w:style>
  <w:style w:type="paragraph" w:customStyle="1" w:styleId="user0">
    <w:name w:val="Указатель (user)"/>
    <w:basedOn w:val="a"/>
    <w:qFormat/>
    <w:pPr>
      <w:suppressLineNumbers/>
    </w:pPr>
    <w:rPr>
      <w:rFonts w:cs="Noto Sans"/>
    </w:rPr>
  </w:style>
  <w:style w:type="paragraph" w:styleId="aff2">
    <w:name w:val="List Paragraph"/>
    <w:basedOn w:val="a"/>
    <w:uiPriority w:val="34"/>
    <w:qFormat/>
    <w:pPr>
      <w:ind w:left="720"/>
      <w:contextualSpacing/>
    </w:pPr>
  </w:style>
  <w:style w:type="paragraph" w:styleId="aff3">
    <w:name w:val="No Spacing"/>
    <w:uiPriority w:val="1"/>
    <w:qFormat/>
  </w:style>
  <w:style w:type="paragraph" w:styleId="a6">
    <w:name w:val="Subtitle"/>
    <w:basedOn w:val="a"/>
    <w:next w:val="a"/>
    <w:link w:val="a5"/>
    <w:uiPriority w:val="11"/>
    <w:qFormat/>
    <w:pPr>
      <w:spacing w:before="200"/>
    </w:pPr>
    <w:rPr>
      <w:sz w:val="24"/>
      <w:szCs w:val="24"/>
    </w:rPr>
  </w:style>
  <w:style w:type="paragraph" w:styleId="22">
    <w:name w:val="Quote"/>
    <w:basedOn w:val="a"/>
    <w:next w:val="a"/>
    <w:link w:val="21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7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f4">
    <w:name w:val="Колонтитулы"/>
    <w:basedOn w:val="a"/>
    <w:qFormat/>
  </w:style>
  <w:style w:type="paragraph" w:customStyle="1" w:styleId="user1">
    <w:name w:val="Колонтитулы (user)"/>
    <w:basedOn w:val="a"/>
    <w:qFormat/>
  </w:style>
  <w:style w:type="paragraph" w:styleId="aa">
    <w:name w:val="header"/>
    <w:basedOn w:val="a"/>
    <w:link w:val="a9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c">
    <w:name w:val="foot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paragraph" w:styleId="af">
    <w:name w:val="footnote text"/>
    <w:basedOn w:val="a"/>
    <w:link w:val="ae"/>
    <w:uiPriority w:val="99"/>
    <w:semiHidden/>
    <w:unhideWhenUsed/>
    <w:pPr>
      <w:spacing w:after="40" w:line="240" w:lineRule="auto"/>
    </w:pPr>
    <w:rPr>
      <w:sz w:val="18"/>
    </w:rPr>
  </w:style>
  <w:style w:type="paragraph" w:styleId="af3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5">
    <w:name w:val="TOC Heading"/>
    <w:uiPriority w:val="39"/>
    <w:unhideWhenUsed/>
    <w:qFormat/>
    <w:pPr>
      <w:spacing w:after="160" w:line="259" w:lineRule="auto"/>
    </w:pPr>
  </w:style>
  <w:style w:type="paragraph" w:styleId="aff6">
    <w:name w:val="table of figures"/>
    <w:basedOn w:val="a"/>
    <w:next w:val="a"/>
    <w:uiPriority w:val="99"/>
    <w:unhideWhenUsed/>
    <w:pPr>
      <w:spacing w:after="0"/>
    </w:pPr>
  </w:style>
  <w:style w:type="paragraph" w:customStyle="1" w:styleId="ConsPlusNormal">
    <w:name w:val="ConsPlusNormal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8">
    <w:name w:val="annotation text"/>
    <w:basedOn w:val="a"/>
    <w:link w:val="af7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a">
    <w:name w:val="annotation subject"/>
    <w:basedOn w:val="af8"/>
    <w:next w:val="af8"/>
    <w:link w:val="af9"/>
    <w:uiPriority w:val="99"/>
    <w:semiHidden/>
    <w:unhideWhenUsed/>
    <w:qFormat/>
    <w:rPr>
      <w:b/>
      <w:bCs/>
    </w:rPr>
  </w:style>
  <w:style w:type="paragraph" w:styleId="afc">
    <w:name w:val="Balloon Text"/>
    <w:basedOn w:val="a"/>
    <w:link w:val="afb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numbering" w:customStyle="1" w:styleId="aff7">
    <w:name w:val="Без списка"/>
    <w:uiPriority w:val="99"/>
    <w:semiHidden/>
    <w:unhideWhenUsed/>
    <w:qFormat/>
  </w:style>
  <w:style w:type="table" w:styleId="aff8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tblPr/>
      <w:tcPr>
        <w:shd w:val="clear" w:color="F2F2F2" w:fill="FFFFFF" w:themeFill="text1" w:themeFillTint="00"/>
      </w:tcPr>
    </w:tblStylePr>
  </w:style>
  <w:style w:type="table" w:styleId="24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styleId="42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styleId="52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  <w:tblPr/>
      <w:tcPr>
        <w:shd w:val="clear" w:color="F2F2F2" w:fill="FFFFFF" w:themeFill="text1" w:themeFillTint="00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DEAF6" w:fill="DDEAF6" w:themeFill="accent1" w:themeFillTint="34"/>
      </w:tcPr>
    </w:tblStylePr>
    <w:tblStylePr w:type="band1Horz">
      <w:rPr>
        <w:sz w:val="22"/>
      </w:rPr>
      <w:tblPr/>
      <w:tcPr>
        <w:shd w:val="clear" w:color="DDEAF6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BCBCB" w:fill="CBCBCB" w:themeFill="text1" w:themeFillTint="34"/>
      </w:tcPr>
    </w:tblStylePr>
    <w:tblStylePr w:type="band1Horz">
      <w:rPr>
        <w:sz w:val="22"/>
      </w:rPr>
      <w:tblPr/>
      <w:tcPr>
        <w:shd w:val="clear" w:color="CBCBCB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68A2D8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EEBF6" w:fill="DEEBF6" w:themeFill="accent1" w:themeFillTint="32"/>
      </w:tcPr>
    </w:tblStylePr>
    <w:tblStylePr w:type="band1Horz">
      <w:rPr>
        <w:sz w:val="22"/>
      </w:rPr>
      <w:tblPr/>
      <w:tcPr>
        <w:shd w:val="clear" w:color="DEEBF6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4B184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A5A5A5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D865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  <w:tblPr/>
      <w:tcPr>
        <w:shd w:val="clear" w:color="E1EFD8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000000" w:fill="000000" w:themeFill="text1"/>
      </w:tcPr>
    </w:tblStylePr>
    <w:tblStylePr w:type="firstCol">
      <w:rPr>
        <w:b/>
        <w:sz w:val="22"/>
      </w:rPr>
      <w:tblPr/>
      <w:tcPr>
        <w:shd w:val="clear" w:color="000000" w:fill="000000" w:themeFill="text1"/>
      </w:tcPr>
    </w:tblStylePr>
    <w:tblStylePr w:type="lastCol">
      <w:rPr>
        <w:b/>
        <w:sz w:val="22"/>
      </w:rPr>
      <w:tblPr/>
      <w:tcPr>
        <w:shd w:val="clear" w:color="000000" w:fill="000000" w:themeFill="text1"/>
      </w:tcPr>
    </w:tblStylePr>
    <w:tblStylePr w:type="band1Vert">
      <w:tblPr/>
      <w:tcPr>
        <w:shd w:val="clear" w:color="8A8A8A" w:fill="8A8A8A" w:themeFill="text1" w:themeFillTint="75"/>
      </w:tcPr>
    </w:tblStylePr>
    <w:tblStylePr w:type="band1Horz">
      <w:tblPr/>
      <w:tcPr>
        <w:shd w:val="clear" w:color="8A8A8A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5B9BD5" w:fill="5B9BD5" w:themeFill="accent1"/>
      </w:tcPr>
    </w:tblStylePr>
    <w:tblStylePr w:type="firstCol">
      <w:rPr>
        <w:b/>
        <w:sz w:val="22"/>
      </w:rPr>
      <w:tblPr/>
      <w:tcPr>
        <w:shd w:val="clear" w:color="5B9BD5" w:fill="5B9BD5" w:themeFill="accent1"/>
      </w:tcPr>
    </w:tblStylePr>
    <w:tblStylePr w:type="lastCol">
      <w:rPr>
        <w:b/>
        <w:sz w:val="22"/>
      </w:rPr>
      <w:tblPr/>
      <w:tcPr>
        <w:shd w:val="clear" w:color="5B9BD5" w:fill="5B9BD5" w:themeFill="accent1"/>
      </w:tcPr>
    </w:tblStylePr>
    <w:tblStylePr w:type="band1Vert">
      <w:tblPr/>
      <w:tcPr>
        <w:shd w:val="clear" w:color="B3D0EB" w:fill="B3D0EB" w:themeFill="accent1" w:themeFillTint="75"/>
      </w:tcPr>
    </w:tblStylePr>
    <w:tblStylePr w:type="band1Horz">
      <w:tblPr/>
      <w:tcPr>
        <w:shd w:val="clear" w:color="B3D0EB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ED7D31" w:fill="ED7D31" w:themeFill="accent2"/>
      </w:tcPr>
    </w:tblStylePr>
    <w:tblStylePr w:type="firstCol">
      <w:rPr>
        <w:b/>
        <w:sz w:val="22"/>
      </w:rPr>
      <w:tblPr/>
      <w:tcPr>
        <w:shd w:val="clear" w:color="ED7D31" w:fill="ED7D31" w:themeFill="accent2"/>
      </w:tcPr>
    </w:tblStylePr>
    <w:tblStylePr w:type="lastCol">
      <w:rPr>
        <w:b/>
        <w:sz w:val="22"/>
      </w:rPr>
      <w:tblPr/>
      <w:tcPr>
        <w:shd w:val="clear" w:color="ED7D31" w:fill="ED7D31" w:themeFill="accent2"/>
      </w:tcPr>
    </w:tblStylePr>
    <w:tblStylePr w:type="band1Vert">
      <w:tblPr/>
      <w:tcPr>
        <w:shd w:val="clear" w:color="F6C3A0" w:fill="F6C3A0" w:themeFill="accent2" w:themeFillTint="75"/>
      </w:tcPr>
    </w:tblStylePr>
    <w:tblStylePr w:type="band1Horz">
      <w:tblPr/>
      <w:tcPr>
        <w:shd w:val="clear" w:color="F6C3A0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A5A5A5" w:fill="A5A5A5" w:themeFill="accent3"/>
      </w:tcPr>
    </w:tblStylePr>
    <w:tblStylePr w:type="firstCol">
      <w:rPr>
        <w:b/>
        <w:sz w:val="22"/>
      </w:rPr>
      <w:tblPr/>
      <w:tcPr>
        <w:shd w:val="clear" w:color="A5A5A5" w:fill="A5A5A5" w:themeFill="accent3"/>
      </w:tcPr>
    </w:tblStylePr>
    <w:tblStylePr w:type="lastCol">
      <w:rPr>
        <w:b/>
        <w:sz w:val="22"/>
      </w:rPr>
      <w:tblPr/>
      <w:tcPr>
        <w:shd w:val="clear" w:color="A5A5A5" w:fill="A5A5A5" w:themeFill="accent3"/>
      </w:tcPr>
    </w:tblStylePr>
    <w:tblStylePr w:type="band1Vert">
      <w:tblPr/>
      <w:tcPr>
        <w:shd w:val="clear" w:color="D5D5D5" w:fill="D5D5D5" w:themeFill="accent3" w:themeFillTint="75"/>
      </w:tcPr>
    </w:tblStylePr>
    <w:tblStylePr w:type="band1Horz">
      <w:tblPr/>
      <w:tcPr>
        <w:shd w:val="clear" w:color="D5D5D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C000" w:fill="FFC000" w:themeFill="accent4"/>
      </w:tcPr>
    </w:tblStylePr>
    <w:tblStylePr w:type="firstCol">
      <w:rPr>
        <w:b/>
        <w:sz w:val="22"/>
      </w:rPr>
      <w:tblPr/>
      <w:tcPr>
        <w:shd w:val="clear" w:color="FFC000" w:fill="FFC000" w:themeFill="accent4"/>
      </w:tcPr>
    </w:tblStylePr>
    <w:tblStylePr w:type="lastCol">
      <w:rPr>
        <w:b/>
        <w:sz w:val="22"/>
      </w:rPr>
      <w:tblPr/>
      <w:tcPr>
        <w:shd w:val="clear" w:color="FFC000" w:fill="FFC000" w:themeFill="accent4"/>
      </w:tcPr>
    </w:tblStylePr>
    <w:tblStylePr w:type="band1Vert">
      <w:tblPr/>
      <w:tcPr>
        <w:shd w:val="clear" w:color="FFE28A" w:fill="FFE28A" w:themeFill="accent4" w:themeFillTint="75"/>
      </w:tcPr>
    </w:tblStylePr>
    <w:tblStylePr w:type="band1Horz">
      <w:tblPr/>
      <w:tcPr>
        <w:shd w:val="clear" w:color="FFE28A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4472C4" w:fill="4472C4" w:themeFill="accent5"/>
      </w:tcPr>
    </w:tblStylePr>
    <w:tblStylePr w:type="firstCol">
      <w:rPr>
        <w:b/>
        <w:sz w:val="22"/>
      </w:rPr>
      <w:tblPr/>
      <w:tcPr>
        <w:shd w:val="clear" w:color="4472C4" w:fill="4472C4" w:themeFill="accent5"/>
      </w:tcPr>
    </w:tblStylePr>
    <w:tblStylePr w:type="lastCol">
      <w:rPr>
        <w:b/>
        <w:sz w:val="22"/>
      </w:rPr>
      <w:tblPr/>
      <w:tcPr>
        <w:shd w:val="clear" w:color="4472C4" w:fill="4472C4" w:themeFill="accent5"/>
      </w:tcPr>
    </w:tblStylePr>
    <w:tblStylePr w:type="band1Vert">
      <w:tblPr/>
      <w:tcPr>
        <w:shd w:val="clear" w:color="A9BEE4" w:fill="A9BEE4" w:themeFill="accent5" w:themeFillTint="75"/>
      </w:tcPr>
    </w:tblStylePr>
    <w:tblStylePr w:type="band1Horz">
      <w:tblPr/>
      <w:tcPr>
        <w:shd w:val="clear" w:color="A9BEE4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70AD47" w:fill="70AD47" w:themeFill="accent6"/>
      </w:tcPr>
    </w:tblStylePr>
    <w:tblStylePr w:type="firstCol">
      <w:rPr>
        <w:b/>
        <w:sz w:val="22"/>
      </w:rPr>
      <w:tblPr/>
      <w:tcPr>
        <w:shd w:val="clear" w:color="70AD47" w:fill="70AD47" w:themeFill="accent6"/>
      </w:tcPr>
    </w:tblStylePr>
    <w:tblStylePr w:type="lastCol">
      <w:rPr>
        <w:b/>
        <w:sz w:val="22"/>
      </w:rPr>
      <w:tblPr/>
      <w:tcPr>
        <w:shd w:val="clear" w:color="70AD47" w:fill="70AD47" w:themeFill="accent6"/>
      </w:tcPr>
    </w:tblStylePr>
    <w:tblStylePr w:type="band1Vert">
      <w:tblPr/>
      <w:tcPr>
        <w:shd w:val="clear" w:color="BCDBA8" w:fill="BCDBA8" w:themeFill="accent6" w:themeFillTint="75"/>
      </w:tcPr>
    </w:tblStylePr>
    <w:tblStylePr w:type="band1Horz">
      <w:tblPr/>
      <w:tcPr>
        <w:shd w:val="clear" w:color="BCDBA8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2F2F2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DDEAF6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BE5D6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ECECEC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2CB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D8E2F3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E1EFD8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tblPr/>
      <w:tcPr>
        <w:shd w:val="clear" w:color="BFBFB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tblPr/>
      <w:tcPr>
        <w:shd w:val="clear" w:color="D5E5F4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tblPr/>
      <w:tcPr>
        <w:shd w:val="clear" w:color="FADECB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tblPr/>
      <w:tcPr>
        <w:shd w:val="clear" w:color="E8E8E8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tblPr/>
      <w:tcPr>
        <w:shd w:val="clear" w:color="FFEFBF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tblPr/>
      <w:tcPr>
        <w:shd w:val="clear" w:color="CFDBF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tblPr/>
      <w:tcPr>
        <w:shd w:val="clear" w:color="DAEBCF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C9C9C9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8DA9DB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A9D08E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000000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BFBFBF" w:fill="BFBFBF" w:themeFill="text1" w:themeFillTint="40"/>
      </w:tcPr>
    </w:tblStylePr>
    <w:tblStylePr w:type="band1Horz">
      <w:rPr>
        <w:sz w:val="22"/>
      </w:rPr>
      <w:tblPr/>
      <w:tcPr>
        <w:shd w:val="clear" w:color="BFBFB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5B9BD5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5E5F4" w:fill="D5E5F4" w:themeFill="accent1" w:themeFillTint="40"/>
      </w:tcPr>
    </w:tblStylePr>
    <w:tblStylePr w:type="band1Horz">
      <w:rPr>
        <w:sz w:val="22"/>
      </w:rPr>
      <w:tblPr/>
      <w:tcPr>
        <w:shd w:val="clear" w:color="D5E5F4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ED7D31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ADECB" w:fill="FADECB" w:themeFill="accent2" w:themeFillTint="40"/>
      </w:tcPr>
    </w:tblStylePr>
    <w:tblStylePr w:type="band1Horz">
      <w:rPr>
        <w:sz w:val="22"/>
      </w:rPr>
      <w:tblPr/>
      <w:tcPr>
        <w:shd w:val="clear" w:color="FADECB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A5A5A5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E8E8E8" w:fill="E8E8E8" w:themeFill="accent3" w:themeFillTint="40"/>
      </w:tcPr>
    </w:tblStylePr>
    <w:tblStylePr w:type="band1Horz">
      <w:rPr>
        <w:sz w:val="22"/>
      </w:rPr>
      <w:tblPr/>
      <w:tcPr>
        <w:shd w:val="clear" w:color="E8E8E8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C000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EFBF" w:fill="FFEFBF" w:themeFill="accent4" w:themeFillTint="40"/>
      </w:tcPr>
    </w:tblStylePr>
    <w:tblStylePr w:type="band1Horz">
      <w:rPr>
        <w:sz w:val="22"/>
      </w:rPr>
      <w:tblPr/>
      <w:tcPr>
        <w:shd w:val="clear" w:color="FFEFBF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4472C4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CFDBF0" w:fill="CFDBF0" w:themeFill="accent5" w:themeFillTint="40"/>
      </w:tcPr>
    </w:tblStylePr>
    <w:tblStylePr w:type="band1Horz">
      <w:rPr>
        <w:sz w:val="22"/>
      </w:rPr>
      <w:tblPr/>
      <w:tcPr>
        <w:shd w:val="clear" w:color="CFDBF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70AD47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DAEBCF" w:fill="DAEBCF" w:themeFill="accent6" w:themeFillTint="40"/>
      </w:tcPr>
    </w:tblStylePr>
    <w:tblStylePr w:type="band1Horz">
      <w:rPr>
        <w:sz w:val="22"/>
      </w:rPr>
      <w:tblPr/>
      <w:tcPr>
        <w:shd w:val="clear" w:color="DAEBCF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7F7F7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4B184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C9C9C9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D865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8DA9DB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A9D08E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000000" w:themeColor="tex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000000" w:themeColor="tex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D5E5F4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ED7D31" w:themeColor="accent2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ED7D31" w:themeColor="accent2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ADECB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E8E8E8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C000" w:themeColor="accent4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C000" w:themeColor="accent4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EFB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5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4472C4" w:themeColor="accent5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CFDBF0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0AD47" w:themeColor="accent6"/>
          <w:right w:val="none" w:sz="0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70AD47" w:themeColor="accent6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DAEBC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Lined-Accent1">
    <w:name w:val="Lined - Accent 1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sz w:val="20"/>
      <w:szCs w:val="20"/>
      <w:lang w:eastAsia="ru-RU"/>
    </w:rPr>
    <w:tblPr>
      <w:tblStyleRowBandSize w:val="1"/>
      <w:tblStyleColBandSize w:val="1"/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7F7F7F" w:fill="7F7F7F" w:themeFill="text1" w:themeFillTint="80"/>
      </w:tcPr>
    </w:tblStylePr>
    <w:tblStylePr w:type="lastRow">
      <w:rPr>
        <w:sz w:val="22"/>
      </w:rPr>
      <w:tblPr/>
      <w:tcPr>
        <w:shd w:val="clear" w:color="7F7F7F" w:fill="7F7F7F" w:themeFill="text1" w:themeFillTint="80"/>
      </w:tcPr>
    </w:tblStylePr>
    <w:tblStylePr w:type="firstCol">
      <w:rPr>
        <w:sz w:val="22"/>
      </w:rPr>
      <w:tblPr/>
      <w:tcPr>
        <w:shd w:val="clear" w:color="7F7F7F" w:fill="7F7F7F" w:themeFill="text1" w:themeFillTint="80"/>
      </w:tcPr>
    </w:tblStylePr>
    <w:tblStylePr w:type="lastCol">
      <w:rPr>
        <w:sz w:val="22"/>
      </w:rPr>
      <w:tblPr/>
      <w:tcPr>
        <w:shd w:val="clear" w:color="7F7F7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2F2F2" w:fill="FFFFFF" w:themeFill="text1" w:themeFillTint="0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2F2F2" w:fill="FFFFFF" w:themeFill="text1" w:themeFillTint="00"/>
      </w:tcPr>
    </w:tblStylePr>
  </w:style>
  <w:style w:type="table" w:customStyle="1" w:styleId="BorderedLined-Accent1">
    <w:name w:val="Bordered &amp; Lined - Accent 1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68A2D8" w:fill="68A2D8" w:themeFill="accent1" w:themeFillTint="EA"/>
      </w:tcPr>
    </w:tblStylePr>
    <w:tblStylePr w:type="lastRow">
      <w:rPr>
        <w:sz w:val="22"/>
      </w:rPr>
      <w:tblPr/>
      <w:tcPr>
        <w:shd w:val="clear" w:color="68A2D8" w:fill="68A2D8" w:themeFill="accent1" w:themeFillTint="EA"/>
      </w:tcPr>
    </w:tblStylePr>
    <w:tblStylePr w:type="firstCol">
      <w:rPr>
        <w:sz w:val="22"/>
      </w:rPr>
      <w:tblPr/>
      <w:tcPr>
        <w:shd w:val="clear" w:color="68A2D8" w:fill="68A2D8" w:themeFill="accent1" w:themeFillTint="EA"/>
      </w:tcPr>
    </w:tblStylePr>
    <w:tblStylePr w:type="lastCol">
      <w:rPr>
        <w:sz w:val="22"/>
      </w:rPr>
      <w:tblPr/>
      <w:tcPr>
        <w:shd w:val="clear" w:color="68A2D8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CBDFF1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CBDFF1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4B184" w:fill="F4B184" w:themeFill="accent2" w:themeFillTint="97"/>
      </w:tcPr>
    </w:tblStylePr>
    <w:tblStylePr w:type="lastRow">
      <w:rPr>
        <w:sz w:val="22"/>
      </w:rPr>
      <w:tblPr/>
      <w:tcPr>
        <w:shd w:val="clear" w:color="F4B184" w:fill="F4B184" w:themeFill="accent2" w:themeFillTint="97"/>
      </w:tcPr>
    </w:tblStylePr>
    <w:tblStylePr w:type="firstCol">
      <w:rPr>
        <w:sz w:val="22"/>
      </w:rPr>
      <w:tblPr/>
      <w:tcPr>
        <w:shd w:val="clear" w:color="F4B184" w:fill="F4B184" w:themeFill="accent2" w:themeFillTint="97"/>
      </w:tcPr>
    </w:tblStylePr>
    <w:tblStylePr w:type="lastCol">
      <w:rPr>
        <w:sz w:val="22"/>
      </w:rPr>
      <w:tblPr/>
      <w:tcPr>
        <w:shd w:val="clear" w:color="F4B184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BE5D6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BE5D6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A5A5A5" w:fill="A5A5A5" w:themeFill="accent3" w:themeFillTint="FE"/>
      </w:tcPr>
    </w:tblStylePr>
    <w:tblStylePr w:type="lastRow">
      <w:rPr>
        <w:sz w:val="22"/>
      </w:rPr>
      <w:tblPr/>
      <w:tcPr>
        <w:shd w:val="clear" w:color="A5A5A5" w:fill="A5A5A5" w:themeFill="accent3" w:themeFillTint="FE"/>
      </w:tcPr>
    </w:tblStylePr>
    <w:tblStylePr w:type="firstCol">
      <w:rPr>
        <w:sz w:val="22"/>
      </w:rPr>
      <w:tblPr/>
      <w:tcPr>
        <w:shd w:val="clear" w:color="A5A5A5" w:fill="A5A5A5" w:themeFill="accent3" w:themeFillTint="FE"/>
      </w:tcPr>
    </w:tblStylePr>
    <w:tblStylePr w:type="lastCol">
      <w:rPr>
        <w:sz w:val="22"/>
      </w:rPr>
      <w:tblPr/>
      <w:tcPr>
        <w:shd w:val="clear" w:color="A5A5A5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CECEC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CECEC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D865" w:fill="FFD865" w:themeFill="accent4" w:themeFillTint="9A"/>
      </w:tcPr>
    </w:tblStylePr>
    <w:tblStylePr w:type="lastRow">
      <w:rPr>
        <w:sz w:val="22"/>
      </w:rPr>
      <w:tblPr/>
      <w:tcPr>
        <w:shd w:val="clear" w:color="FFD865" w:fill="FFD865" w:themeFill="accent4" w:themeFillTint="9A"/>
      </w:tcPr>
    </w:tblStylePr>
    <w:tblStylePr w:type="firstCol">
      <w:rPr>
        <w:sz w:val="22"/>
      </w:rPr>
      <w:tblPr/>
      <w:tcPr>
        <w:shd w:val="clear" w:color="FFD865" w:fill="FFD865" w:themeFill="accent4" w:themeFillTint="9A"/>
      </w:tcPr>
    </w:tblStylePr>
    <w:tblStylePr w:type="lastCol">
      <w:rPr>
        <w:sz w:val="22"/>
      </w:rPr>
      <w:tblPr/>
      <w:tcPr>
        <w:shd w:val="clear" w:color="FFD865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2CB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2CB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4472C4" w:fill="4472C4" w:themeFill="accent5"/>
      </w:tcPr>
    </w:tblStylePr>
    <w:tblStylePr w:type="lastRow">
      <w:rPr>
        <w:sz w:val="22"/>
      </w:rPr>
      <w:tblPr/>
      <w:tcPr>
        <w:shd w:val="clear" w:color="4472C4" w:fill="4472C4" w:themeFill="accent5"/>
      </w:tcPr>
    </w:tblStylePr>
    <w:tblStylePr w:type="firstCol">
      <w:rPr>
        <w:sz w:val="22"/>
      </w:rPr>
      <w:tblPr/>
      <w:tcPr>
        <w:shd w:val="clear" w:color="4472C4" w:fill="4472C4" w:themeFill="accent5"/>
      </w:tcPr>
    </w:tblStylePr>
    <w:tblStylePr w:type="lastCol">
      <w:rPr>
        <w:sz w:val="22"/>
      </w:rPr>
      <w:tblPr/>
      <w:tcPr>
        <w:shd w:val="clear" w:color="4472C4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D8E2F3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D8E2F3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70AD47" w:fill="70AD47" w:themeFill="accent6"/>
      </w:tcPr>
    </w:tblStylePr>
    <w:tblStylePr w:type="lastRow">
      <w:rPr>
        <w:sz w:val="22"/>
      </w:rPr>
      <w:tblPr/>
      <w:tcPr>
        <w:shd w:val="clear" w:color="70AD47" w:fill="70AD47" w:themeFill="accent6"/>
      </w:tcPr>
    </w:tblStylePr>
    <w:tblStylePr w:type="firstCol">
      <w:rPr>
        <w:sz w:val="22"/>
      </w:rPr>
      <w:tblPr/>
      <w:tcPr>
        <w:shd w:val="clear" w:color="70AD47" w:fill="70AD47" w:themeFill="accent6"/>
      </w:tcPr>
    </w:tblStylePr>
    <w:tblStylePr w:type="lastCol">
      <w:rPr>
        <w:sz w:val="22"/>
      </w:rPr>
      <w:tblPr/>
      <w:tcPr>
        <w:shd w:val="clear" w:color="70AD47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E1EFD8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E1EFD8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1216</Words>
  <Characters>6937</Characters>
  <Application>Microsoft Office Word</Application>
  <DocSecurity>0</DocSecurity>
  <Lines>57</Lines>
  <Paragraphs>16</Paragraphs>
  <ScaleCrop>false</ScaleCrop>
  <Company>PNO</Company>
  <LinksUpToDate>false</LinksUpToDate>
  <CharactersWithSpaces>8137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Шикула Андрей Федорович</dc:creator>
  <dc:description/>
  <cp:lastModifiedBy>Лебедев Сергей Александрович</cp:lastModifiedBy>
  <cp:revision>26</cp:revision>
  <dcterms:created xsi:type="dcterms:W3CDTF">2025-05-05T03:03:00Z</dcterms:created>
  <dcterms:modified xsi:type="dcterms:W3CDTF">2025-12-24T05:56:00Z</dcterms:modified>
  <dc:language>ru-RU</dc:language>
</cp:coreProperties>
</file>